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right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Cs/>
          <w:iCs/>
          <w:sz w:val="24"/>
          <w:szCs w:val="24"/>
        </w:rPr>
        <w:t>УТВЕРЖДАЮ: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right"/>
        <w:rPr>
          <w:rFonts w:ascii="Times New Roman" w:hAnsi="Times New Roman" w:eastAsia="Times New Roman" w:cs="Arial"/>
          <w:bCs/>
          <w:iCs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Times New Roman" w:cs="Arial" w:ascii="Times New Roman" w:hAnsi="Times New Roman"/>
          <w:bCs/>
          <w:iCs/>
          <w:color w:val="auto"/>
          <w:kern w:val="0"/>
          <w:sz w:val="24"/>
          <w:szCs w:val="24"/>
          <w:lang w:val="ru-RU" w:eastAsia="ru-RU" w:bidi="ar-SA"/>
        </w:rPr>
        <w:t>Главный инженер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right"/>
        <w:rPr>
          <w:rFonts w:ascii="Times New Roman" w:hAnsi="Times New Roman" w:eastAsia="Times New Roman" w:cs="Arial"/>
          <w:bCs/>
          <w:iCs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Times New Roman" w:cs="Arial" w:ascii="Times New Roman" w:hAnsi="Times New Roman"/>
          <w:bCs/>
          <w:iCs/>
          <w:color w:val="auto"/>
          <w:kern w:val="0"/>
          <w:sz w:val="24"/>
          <w:szCs w:val="24"/>
          <w:lang w:val="ru-RU" w:eastAsia="ru-RU" w:bidi="ar-SA"/>
        </w:rPr>
        <w:t>ООО «Самарские коммунальные системы»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right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Cs/>
          <w:iCs/>
          <w:sz w:val="24"/>
          <w:szCs w:val="24"/>
        </w:rPr>
        <w:t>_________________________И.В. Давыдов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right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Cs/>
          <w:iCs/>
          <w:sz w:val="24"/>
          <w:szCs w:val="24"/>
        </w:rPr>
        <w:t>«___»______________202</w:t>
      </w:r>
      <w:r>
        <w:rPr>
          <w:rFonts w:cs="Arial" w:ascii="Times New Roman" w:hAnsi="Times New Roman"/>
          <w:bCs/>
          <w:iCs/>
          <w:sz w:val="24"/>
          <w:szCs w:val="24"/>
        </w:rPr>
        <w:t>4</w:t>
      </w:r>
      <w:r>
        <w:rPr>
          <w:rFonts w:cs="Arial" w:ascii="Times New Roman" w:hAnsi="Times New Roman"/>
          <w:bCs/>
          <w:iCs/>
          <w:sz w:val="24"/>
          <w:szCs w:val="24"/>
        </w:rPr>
        <w:t>г.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center"/>
        <w:rPr>
          <w:rFonts w:cs="Arial"/>
          <w:b/>
          <w:b/>
          <w:bCs/>
          <w:iCs/>
          <w:shd w:fill="auto" w:val="clear"/>
        </w:rPr>
      </w:pPr>
      <w:r>
        <w:rPr>
          <w:rFonts w:cs="Arial"/>
          <w:b/>
          <w:bCs/>
          <w:iCs/>
          <w:shd w:fill="auto" w:val="clear"/>
        </w:rPr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/>
          <w:bCs/>
          <w:iCs/>
          <w:sz w:val="24"/>
          <w:szCs w:val="24"/>
          <w:shd w:fill="auto" w:val="clear"/>
        </w:rPr>
        <w:t>Техническое задание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sz w:val="24"/>
          <w:szCs w:val="24"/>
          <w:shd w:fill="auto" w:val="clear"/>
        </w:rPr>
        <w:t>на транспортировку полных хлорных контейнеров автотранспортом и доставку порожней хлорной тары ООО «Самарские Коммунальные Системы»</w:t>
      </w:r>
    </w:p>
    <w:p>
      <w:pPr>
        <w:pStyle w:val="Normal"/>
        <w:tabs>
          <w:tab w:val="clear" w:pos="708"/>
          <w:tab w:val="left" w:pos="851" w:leader="none"/>
          <w:tab w:val="left" w:pos="1287" w:leader="none"/>
        </w:tabs>
        <w:spacing w:before="120" w:after="0"/>
        <w:jc w:val="center"/>
        <w:rPr>
          <w:rFonts w:cs="Arial"/>
          <w:shd w:fill="auto" w:val="clear"/>
        </w:rPr>
      </w:pPr>
      <w:r>
        <w:rPr>
          <w:rFonts w:cs="Arial"/>
          <w:shd w:fill="auto" w:val="clear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719"/>
        <w:gridCol w:w="7485"/>
      </w:tblGrid>
      <w:tr>
        <w:trPr/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b/>
                <w:sz w:val="24"/>
                <w:szCs w:val="24"/>
                <w:shd w:fill="auto" w:val="clear"/>
              </w:rPr>
              <w:t>Перечень основных данных и требований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Arial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b/>
                <w:sz w:val="24"/>
                <w:szCs w:val="24"/>
                <w:shd w:fill="auto" w:val="clear"/>
              </w:rPr>
              <w:t>Содержание основных данных и требований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Arial"/>
                <w:b/>
                <w:b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Arial" w:ascii="Times New Roman" w:hAnsi="Times New Roman"/>
                <w:b/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1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2</w:t>
            </w:r>
          </w:p>
        </w:tc>
      </w:tr>
      <w:tr>
        <w:trPr>
          <w:trHeight w:val="858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1. Заказчик (наименование, адрес, контактные данные)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Arial" w:ascii="Arial" w:hAnsi="Arial"/>
                <w:sz w:val="24"/>
                <w:szCs w:val="24"/>
                <w:shd w:fill="auto" w:val="clear"/>
              </w:rPr>
              <w:t xml:space="preserve">Юр. адрес: 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ООО «Самарские коммунальные системы»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443056, г. Самара, ул. Луначарского, д. 56.</w:t>
            </w:r>
          </w:p>
        </w:tc>
      </w:tr>
      <w:tr>
        <w:trPr/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2. Основание для оказания услуг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Федеральный закон «О промышленной безопасности опасных производственных объектов» от 21.07.1997 г. № 116-ФЗ; 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Федеральный закон «О лицензировании отдельных видов деятельности» от 04.05.2011 г. № 99 – ФЗ;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iCs/>
                <w:sz w:val="24"/>
                <w:szCs w:val="24"/>
                <w:shd w:fill="auto" w:val="clear"/>
              </w:rPr>
              <w:t xml:space="preserve">- Федеральный закон «Об обязательном страховании гражданской ответственности владельца опасного объекта за причинение вреда в результате аварии на опасном объекте» от 27.07.2010 г. № 225-ФЗ; 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Федеральные нормы и правила в области промышленной безопасности «Правила безопасности при производстве, хранении, транспортировании и применении хлора»» (утв. Приказом Ростехнадзора от 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  <w:lang w:val="en-US"/>
              </w:rPr>
              <w:t>03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.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  <w:lang w:val="en-US"/>
              </w:rPr>
              <w:t>12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.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  <w:lang w:val="en-US"/>
              </w:rPr>
              <w:t>2020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г. №486);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Федеральный закон «Устав автомобильного транспорта и городского наземного электрического транспорта» от 08.11.2007 г. № 259-ФЗ;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Федеральный закон «Об автомобильных дорогах и о дорожной деятельности в РФ и о внесении изменений в отдельные законодательные акты РФ» от 08.11.2007 г. № 257-ФЗ;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Правила перевозок грузов автомобильным транспортом, утв. Постановлением Правительства РФ от 21.12.2020 г. N 2200;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Европейское соглашение от 30.09.1957 года «О международной дорожной перевозке опасных грузов (ДОПОГ)»;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Технический регламент таможенного союза ТР ТС 018/2011 «О безопасности колесных транспортных средств».</w:t>
            </w:r>
          </w:p>
        </w:tc>
      </w:tr>
      <w:tr>
        <w:trPr>
          <w:trHeight w:val="3331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3. Цель и назначение услуг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Возможность транспортировки полных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из (ориентировочно</w:t>
            </w:r>
            <w:r>
              <w:rPr>
                <w:rFonts w:eastAsia="Calibri" w:cs="Arial" w:ascii="Times New Roman" w:hAnsi="Times New Roman" w:eastAsiaTheme="minorHAnsi"/>
                <w:sz w:val="24"/>
                <w:szCs w:val="24"/>
                <w:shd w:fill="auto" w:val="clear"/>
                <w:lang w:eastAsia="en-US"/>
              </w:rPr>
              <w:t xml:space="preserve"> г. Новочебоксарск, ПАО «Химпром»)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в г. Самара, ул. 22 партсъезда, д. 1А (ООО «Самарские Коммунальные Системы»).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Возможность транспортировки порожних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от г. Самара, ул. 22 партсъезда, д. 1А (ООО «Самарские Коммунальные Системы»). до (ориентировочно</w:t>
            </w:r>
            <w:r>
              <w:rPr>
                <w:rFonts w:eastAsia="Calibri" w:cs="Arial" w:ascii="Times New Roman" w:hAnsi="Times New Roman" w:eastAsiaTheme="minorHAnsi"/>
                <w:sz w:val="24"/>
                <w:szCs w:val="24"/>
                <w:shd w:fill="auto" w:val="clear"/>
                <w:lang w:eastAsia="en-US"/>
              </w:rPr>
              <w:t xml:space="preserve"> г. Новочебоксарск, ПАО «Химпром»)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.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Ориентировочное количество полных хлорных контейнеров, подлежащих перевозке: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весенний период составляет 78 контейнеров в месяц,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летний период составляет 104 контейнеров в месяц,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 осенний период составляет 91 контейнеров в месяц,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зимний период составляет 65 контейнеров в месяц.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Один рейс: не более 14 контейнеров, не менее 13 контейнеров.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Ориентировочное количество порожних хлорных контейнеров, подлежащих перевозке: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весенний период составляет 78 контейнеров в месяц,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летний период составляет 104 контейнеров в месяц,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 осенний период составляет 91 контейнеров в месяц,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в зимний период составляет 65 контейнеров в месяц.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Один рейс: не более 14 контейнеров, не менее 13 контейнеров. </w:t>
            </w:r>
          </w:p>
        </w:tc>
      </w:tr>
      <w:tr>
        <w:trPr>
          <w:trHeight w:val="461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4. Состав и виды услуг, оказываемых Исполнителем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81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транспортировка полных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из (ориентировочно </w:t>
            </w:r>
            <w:r>
              <w:rPr>
                <w:rFonts w:eastAsia="Calibri" w:cs="Arial" w:ascii="Times New Roman" w:hAnsi="Times New Roman" w:eastAsiaTheme="minorHAnsi"/>
                <w:sz w:val="24"/>
                <w:szCs w:val="24"/>
                <w:shd w:fill="auto" w:val="clear"/>
                <w:lang w:eastAsia="en-US"/>
              </w:rPr>
              <w:t>г. Новочебоксарск, ПАО «Химпром»)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в г. Самара, ул. 22 партсъезда, д. 1А (ООО «Самарские Коммунальные Системы»);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транспортировка порожних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от г. Самара, ул. 22 партсъезда, д. 1А (ООО «Самарские Коммунальные Системы»). до (ориентировочно </w:t>
            </w:r>
            <w:r>
              <w:rPr>
                <w:rFonts w:eastAsia="Calibri" w:cs="Arial" w:ascii="Times New Roman" w:hAnsi="Times New Roman" w:eastAsiaTheme="minorHAnsi"/>
                <w:sz w:val="24"/>
                <w:szCs w:val="24"/>
                <w:shd w:fill="auto" w:val="clear"/>
                <w:lang w:eastAsia="en-US"/>
              </w:rPr>
              <w:t>г. Новочебоксарск, ПАО «Химпром»);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оформление необходимой документации для отправки спецавтомобиля с полными / порожними контейнерами.</w:t>
            </w:r>
          </w:p>
        </w:tc>
      </w:tr>
      <w:tr>
        <w:trPr>
          <w:trHeight w:val="410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5. Требования к применяемому оборудованию, автотранспорту, процессам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Нормативные требования: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Автомобильная транспортировка затаренного контейнера жидким хлором или порожней тары из-под него должна осуществляться в соответствии с требованиями нормативных документов, указанных в пункте 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Требования к разрешительным документам перевозчика: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Наличие допуска к перевозке опасных грузов II класса опасности (ДОПОГ) применительно к автомобилю (отдельные для тягача и полуприцепа) и водителя или водителей (Свидетельство о допуске транспортного средства к перевозке опасных грузов, Свидетельство о подготовке водителя, перевозящего опасные грузы);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Специальное разрешение на движение по автомобильным дорогам транспортного средства, осуществляющего перевозку опасных грузов от адреса на заводе изготовления, до адреса выгрузки. Маршрут транспортного средства должен быть согласован с органом, выдающим специальное разрешение.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Требования к оснащению автомобильного транспорта, осуществляющего перевозку жидкого хлора: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Транспортные средства технически допустимой максимальной массой более 7,5 т должны быть укомплектованы не менее чем одним огнетушителем емкостью не менее 12 кг или двумя огнетушителями емкостью каждого не менее 6 кг;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Не менее чем двумя противооткатными упорами на каждое транспортное средство (звено автопоезда), размеры которых соответствуют диаметру колес;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Двумя знаками аварийной остановки;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Средствами нейтрализации перевозимых опасных грузов;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Набором ручного инструмента для аварийного ремонта транспортного средства;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Двумя фонарями автономного питания с мигающими или постоянными огнями оранжевого цвета;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Лопатой и запасом песка для тушения пожара;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Одеждой яркого цвета для каждого члена экипажа;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Карманными фонарями для каждого члена экипажа;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 соответствии с предписаниями аварийной карточки и условий 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перевозку - средствами нейтрализации перевозимого опасного груза, индивидуальной защиты членов экипажа и персонала, сопровождающего груз;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Специальными средствами для обеспечения безопасности, указанными в аварийной карточке;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Два знака «Въезд запрещен»;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Устройства и приспособления для крепления баллонов или контейнеров в кузове автомашины;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Буксировочный трос;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Аптечка, соответствующая требованиям законодательства;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Переносной или индивидуальный индикатор утечки хлора (газоанализатор);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Мобильные средства оперативной связи;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 случае перевозки хлорных контейнеров на бортовом автомобиле   необходимо предусмотреть специальные деревянные подкладки (ложементы) с вырезанными гнездами по размеру диаметров контейнеров;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Персонал, осуществляющий перевозку затаренного жидкого хлора или тары из-под него, должен быть обеспечен комплектом: средств индивидуальной защиты органов дыхания, костюмов, изолирующих от химических факторов;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- </w:t>
            </w:r>
            <w:bookmarkStart w:id="0" w:name="_GoBack1"/>
            <w:bookmarkEnd w:id="0"/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Опознавательный знак «Опасный груз»;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Сигнальный проблесковый маяк;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Тахограф;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Аппаратура спутниковой связи ГЛОНАСС или ГЛОНАСС/GPS;</w:t>
            </w:r>
          </w:p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Кроме перечисленного выше транспортное средство, осуществляющее перевозку контейнеров со сжиженным хлором в летнее время должно быть оснащено тентом в целях защиты груза от нагрева солнечными лучами.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В качестве тента допускается применение прочного к разрыву, непромокаемого и трудновоспламеняющегося материала. Тент должен быть натянут, перекрывать борта кузова со всех сторон не менее чем на 200 мм и удерживаться фиксирующими приспособлениями;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Герметизирующим колпаком для ликвидации утечки хлора из контейнеров (для каждого типа используемой тары или универсальный).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Требования к осуществлению перевозки: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К управлению автотранспортными средствами, на которых перевозится затаренный в контейнеры жидкий хлор, допускаются водители, имеющие стаж непрерывной работы в качестве водителей не менее 3 лет, прошедшие обучение в соответствии с требованиями нормативных документов по выполняемой работе и получившие свидетельство на класс, к которому относится перевозка жидкого хлора;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Транспортные средства должны быть чистыми, в технически исправном состоянии, заправленные горюче-смазочными материалами и другими необходимыми эксплуатационными жидкостями в объемах оказания услуги;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Водители транспортных средств обязаны иметь водительское удостоверение соответствующей категории (категорий), не иметь медицинских противопоказаний к управлению транспортными средствами;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Перевозка жидкого хлора автомобильным транспортом должна осуществляться по заранее разработанному маршруту, согласованному в установленном порядке, с минимальным числом остановок и задержек в пути следования;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Выбор маршрута следования опасного груза, а также условий его передвижения возлагается на руководителя автотранспортной организации или руководителя автотранспортного подразделения промышленной организации, в чьем ведении находится автотранспортное средство, предназначенное для перевозки жидкого хлора.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u w:val="single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u w:val="single"/>
                <w:shd w:fill="auto" w:val="clear"/>
              </w:rPr>
              <w:t>При перевозке жидкого хлора, кроме документов, перечисленных в правилах дорожного движения, необходимо иметь: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транспортную накладную;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путевой лист, в верхнем углу которого должна быть сделана красным цветом отметка "Опасный груз";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специальное разрешение на движение по автомобильным дорогам транспортного средства, осуществляющего перевозки опасных грузов с маршрутом перевозки опасного груза;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свидетельство о допуске водителя к перевозке жидкого хлора;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свидетельство о допуске транспортного средства к перевозке опасного груза (класс для жидкого хлора в контейнерах);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аварийную карточку системы информации об опасности;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Письменная инструкция водителю по ДОПОГ.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В составе заявки Поставщик должен предоставить документальное подтверждение возможности поставки продукции непосредственно до складов Заказчика, расположенных по адресам: г. Самара, ул. 22 партсъезда, д. 1А (ООО «Самарские Коммунальные Системы»).</w:t>
            </w:r>
          </w:p>
        </w:tc>
      </w:tr>
      <w:tr>
        <w:trPr>
          <w:trHeight w:val="70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6. Требования к Исполнителю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обеспечение сохранности Груза при осуществлении услуг по перевозке;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информирование Заказчика о любых задержках в доставке Груза, а также о любых случаях повреждения пломбы, утраты либо повреждения груза или части его с предоставлением актов, либо других подтверждающих документов, оформленных в установ</w:t>
            </w:r>
            <w:bookmarkStart w:id="1" w:name="_GoBack"/>
            <w:bookmarkEnd w:id="1"/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ленном законодательством порядке;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наличие разрешительных документов на оказание услуг по транспортировке опасных грузов автомобильным транспортом;</w:t>
            </w:r>
          </w:p>
          <w:p>
            <w:pPr>
              <w:pStyle w:val="32"/>
              <w:widowControl w:val="false"/>
              <w:shd w:val="clear" w:color="auto" w:fill="auto"/>
              <w:tabs>
                <w:tab w:val="clear" w:pos="708"/>
                <w:tab w:val="left" w:pos="254" w:leader="none"/>
              </w:tabs>
              <w:spacing w:lineRule="auto" w:line="240" w:before="0" w:after="0"/>
              <w:jc w:val="both"/>
              <w:rPr/>
            </w:pPr>
            <w:r>
              <w:rPr>
                <w:rStyle w:val="1"/>
                <w:rFonts w:cs="Tahoma" w:ascii="Times New Roman" w:hAnsi="Times New Roman"/>
                <w:color w:val="000000"/>
                <w:sz w:val="24"/>
                <w:szCs w:val="24"/>
                <w:shd w:fill="auto" w:val="clear"/>
              </w:rPr>
              <w:t>- наличие персонала, имеющего соответствующую квалификацию. Персонал должен быть обучен и аттестован в соответствующем порядке по промышленной безопасности и на знание требований при обращении с опасными грузами при его транспортировке автомобильным транспортом;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наличие автопарка спецтехники, позволяющей перевозить опасные грузы не нарушая интервал месячной потребности, указанной в п. 3 Технического задания (туда – обратно);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наличие технических средств, для обеспечения выполнения задач в кратчайшие сроки;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оказание услуг в полном объеме силами Исполнителя без привлечения сил и средств Заказчика;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наличие опыта в оказании подобных услуг для других организаций;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возможность и опыт согласования всех разрешительных документов и маршрутов;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both"/>
              <w:outlineLvl w:val="0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- автотранспортные средства должны иметь возможность верхней выгрузки, для осуществления погрузочных-разгрузочных работ с применением грузоподъемных механизмов (тент, при его наличии, при проведении погрузочных-разгрузочных работ должен демонтироваться и монтироваться обратно, силами Исполнителя).</w:t>
            </w:r>
          </w:p>
        </w:tc>
      </w:tr>
      <w:tr>
        <w:trPr>
          <w:trHeight w:val="360" w:hRule="atLeast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7. Сроки оказания услуг 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Arial"/>
                <w:sz w:val="24"/>
                <w:szCs w:val="24"/>
                <w:shd w:fill="auto" w:val="clear"/>
              </w:rPr>
            </w:pP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В период с 01.04.202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>4</w:t>
            </w:r>
            <w:r>
              <w:rPr>
                <w:rFonts w:cs="Arial" w:ascii="Times New Roman" w:hAnsi="Times New Roman"/>
                <w:sz w:val="24"/>
                <w:szCs w:val="24"/>
                <w:shd w:fill="auto" w:val="clear"/>
              </w:rPr>
              <w:t xml:space="preserve"> по 31.03.2026. </w:t>
            </w:r>
            <w:bookmarkStart w:id="2" w:name="_Toc261601648"/>
            <w:bookmarkEnd w:id="2"/>
          </w:p>
        </w:tc>
      </w:tr>
    </w:tbl>
    <w:p>
      <w:pPr>
        <w:pStyle w:val="Normal"/>
        <w:jc w:val="center"/>
        <w:rPr>
          <w:rFonts w:ascii="Times New Roman" w:hAnsi="Times New Roman" w:cs="Arial"/>
          <w:b/>
          <w:b/>
          <w:iCs/>
          <w:sz w:val="24"/>
          <w:szCs w:val="24"/>
          <w:highlight w:val="none"/>
          <w:shd w:fill="auto" w:val="clear"/>
          <w:lang w:eastAsia="x-none"/>
        </w:rPr>
      </w:pPr>
      <w:r>
        <w:rPr>
          <w:rFonts w:cs="Arial" w:ascii="Times New Roman" w:hAnsi="Times New Roman"/>
          <w:b/>
          <w:iCs/>
          <w:sz w:val="24"/>
          <w:szCs w:val="24"/>
          <w:shd w:fill="auto" w:val="clear"/>
          <w:lang w:eastAsia="x-none"/>
        </w:rPr>
      </w:r>
    </w:p>
    <w:p>
      <w:pPr>
        <w:pStyle w:val="Normal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Начальник УВР                                                                                                                     Казанцев С.Ю.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134" w:right="567" w:gutter="0" w:header="0" w:top="567" w:footer="567" w:bottom="62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 xml:space="preserve">Страница </w:t>
    </w:r>
    <w:r>
      <w:rPr>
        <w:rFonts w:cs="Arial" w:ascii="Arial" w:hAnsi="Arial"/>
        <w:b/>
        <w:sz w:val="16"/>
        <w:szCs w:val="16"/>
      </w:rPr>
      <w:fldChar w:fldCharType="begin"/>
    </w:r>
    <w:r>
      <w:rPr>
        <w:sz w:val="16"/>
        <w:b/>
        <w:szCs w:val="16"/>
        <w:rFonts w:cs="Arial" w:ascii="Arial" w:hAnsi="Arial"/>
      </w:rPr>
      <w:instrText> PAGE </w:instrText>
    </w:r>
    <w:r>
      <w:rPr>
        <w:sz w:val="16"/>
        <w:b/>
        <w:szCs w:val="16"/>
        <w:rFonts w:cs="Arial" w:ascii="Arial" w:hAnsi="Arial"/>
      </w:rPr>
      <w:fldChar w:fldCharType="separate"/>
    </w:r>
    <w:r>
      <w:rPr>
        <w:sz w:val="16"/>
        <w:b/>
        <w:szCs w:val="16"/>
        <w:rFonts w:cs="Arial" w:ascii="Arial" w:hAnsi="Arial"/>
      </w:rPr>
      <w:t>3</w:t>
    </w:r>
    <w:r>
      <w:rPr>
        <w:sz w:val="16"/>
        <w:b/>
        <w:szCs w:val="16"/>
        <w:rFonts w:cs="Arial" w:ascii="Arial" w:hAnsi="Arial"/>
      </w:rPr>
      <w:fldChar w:fldCharType="end"/>
    </w:r>
    <w:r>
      <w:rPr>
        <w:rFonts w:cs="Arial" w:ascii="Arial" w:hAnsi="Arial"/>
        <w:sz w:val="16"/>
        <w:szCs w:val="16"/>
      </w:rPr>
      <w:t xml:space="preserve"> из </w:t>
    </w:r>
    <w:r>
      <w:rPr>
        <w:rFonts w:cs="Arial" w:ascii="Arial" w:hAnsi="Arial"/>
        <w:b/>
        <w:sz w:val="16"/>
        <w:szCs w:val="16"/>
      </w:rPr>
      <w:fldChar w:fldCharType="begin"/>
    </w:r>
    <w:r>
      <w:rPr>
        <w:sz w:val="16"/>
        <w:b/>
        <w:szCs w:val="16"/>
        <w:rFonts w:cs="Arial" w:ascii="Arial" w:hAnsi="Arial"/>
      </w:rPr>
      <w:instrText> NUMPAGES </w:instrText>
    </w:r>
    <w:r>
      <w:rPr>
        <w:sz w:val="16"/>
        <w:b/>
        <w:szCs w:val="16"/>
        <w:rFonts w:cs="Arial" w:ascii="Arial" w:hAnsi="Arial"/>
      </w:rPr>
      <w:fldChar w:fldCharType="separate"/>
    </w:r>
    <w:r>
      <w:rPr>
        <w:sz w:val="16"/>
        <w:b/>
        <w:szCs w:val="16"/>
        <w:rFonts w:cs="Arial" w:ascii="Arial" w:hAnsi="Arial"/>
      </w:rPr>
      <w:t>5</w:t>
    </w:r>
    <w:r>
      <w:rPr>
        <w:sz w:val="16"/>
        <w:b/>
        <w:szCs w:val="16"/>
        <w:rFonts w:cs="Arial" w:ascii="Arial" w:hAnsi="Arial"/>
      </w:rPr>
      <w:fldChar w:fldCharType="end"/>
    </w:r>
  </w:p>
  <w:p>
    <w:pPr>
      <w:pStyle w:val="Style25"/>
      <w:rPr/>
    </w:pPr>
    <w:r>
      <w:rPr/>
    </w:r>
  </w:p>
</w:ft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621cb"/>
    <w:pPr>
      <w:widowControl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next w:val="Normal"/>
    <w:link w:val="30"/>
    <w:autoRedefine/>
    <w:uiPriority w:val="99"/>
    <w:qFormat/>
    <w:rsid w:val="002621cb"/>
    <w:pPr>
      <w:keepNext w:val="true"/>
      <w:spacing w:before="480" w:after="0"/>
      <w:ind w:left="851" w:hanging="0"/>
      <w:jc w:val="both"/>
      <w:outlineLvl w:val="2"/>
    </w:pPr>
    <w:rPr>
      <w:b/>
      <w:bCs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9"/>
    <w:qFormat/>
    <w:rsid w:val="002621cb"/>
    <w:rPr>
      <w:rFonts w:ascii="Verdana" w:hAnsi="Verdana" w:eastAsia="Times New Roman" w:cs="Times New Roman"/>
      <w:b/>
      <w:bCs/>
      <w:sz w:val="20"/>
      <w:szCs w:val="26"/>
      <w:lang w:val="x-none" w:eastAsia="x-none"/>
    </w:rPr>
  </w:style>
  <w:style w:type="character" w:styleId="Style13">
    <w:name w:val="Интернет-ссылка"/>
    <w:rsid w:val="002621cb"/>
    <w:rPr>
      <w:rFonts w:cs="Times New Roman"/>
      <w:color w:val="0000FF"/>
      <w:u w:val="single"/>
    </w:rPr>
  </w:style>
  <w:style w:type="character" w:styleId="Style14" w:customStyle="1">
    <w:name w:val="Нижний колонтитул Знак"/>
    <w:basedOn w:val="DefaultParagraphFont"/>
    <w:link w:val="a4"/>
    <w:uiPriority w:val="99"/>
    <w:qFormat/>
    <w:rsid w:val="002621cb"/>
    <w:rPr>
      <w:rFonts w:ascii="Verdana" w:hAnsi="Verdana" w:eastAsia="Times New Roman" w:cs="Times New Roman"/>
      <w:sz w:val="20"/>
      <w:szCs w:val="20"/>
      <w:lang w:val="x-none" w:eastAsia="x-none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2621cb"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Основной текст_"/>
    <w:basedOn w:val="DefaultParagraphFont"/>
    <w:link w:val="31"/>
    <w:qFormat/>
    <w:rsid w:val="002803cc"/>
    <w:rPr>
      <w:rFonts w:ascii="Arial" w:hAnsi="Arial" w:eastAsia="Arial" w:cs="Arial"/>
      <w:sz w:val="19"/>
      <w:szCs w:val="19"/>
      <w:shd w:fill="FFFFFF" w:val="clear"/>
    </w:rPr>
  </w:style>
  <w:style w:type="character" w:styleId="1" w:customStyle="1">
    <w:name w:val="Основной текст1"/>
    <w:basedOn w:val="Style16"/>
    <w:qFormat/>
    <w:rsid w:val="002803cc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shd w:fill="FFFFFF" w:val="clear"/>
      <w:lang w:val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73896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a"/>
    <w:uiPriority w:val="99"/>
    <w:semiHidden/>
    <w:qFormat/>
    <w:rsid w:val="00573896"/>
    <w:rPr>
      <w:rFonts w:ascii="Verdana" w:hAnsi="Verdana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c"/>
    <w:uiPriority w:val="99"/>
    <w:semiHidden/>
    <w:qFormat/>
    <w:rsid w:val="00573896"/>
    <w:rPr>
      <w:rFonts w:ascii="Verdana" w:hAnsi="Verdana" w:eastAsia="Times New Roman" w:cs="Times New Roman"/>
      <w:b/>
      <w:bCs/>
      <w:sz w:val="20"/>
      <w:szCs w:val="20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a5"/>
    <w:uiPriority w:val="99"/>
    <w:rsid w:val="002621cb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621cb"/>
    <w:pPr/>
    <w:rPr>
      <w:rFonts w:ascii="Tahoma" w:hAnsi="Tahoma" w:cs="Tahoma"/>
      <w:sz w:val="16"/>
      <w:szCs w:val="16"/>
    </w:rPr>
  </w:style>
  <w:style w:type="paragraph" w:styleId="32" w:customStyle="1">
    <w:name w:val="Основной текст3"/>
    <w:basedOn w:val="Normal"/>
    <w:link w:val="a8"/>
    <w:qFormat/>
    <w:rsid w:val="002803cc"/>
    <w:pPr>
      <w:widowControl w:val="false"/>
      <w:shd w:val="clear" w:color="auto" w:fill="FFFFFF"/>
      <w:spacing w:lineRule="atLeast" w:line="0" w:before="540" w:after="0"/>
      <w:jc w:val="center"/>
    </w:pPr>
    <w:rPr>
      <w:rFonts w:ascii="Arial" w:hAnsi="Arial" w:eastAsia="Arial" w:cs="Arial"/>
      <w:sz w:val="19"/>
      <w:szCs w:val="19"/>
      <w:lang w:eastAsia="en-US"/>
    </w:rPr>
  </w:style>
  <w:style w:type="paragraph" w:styleId="Annotationtext">
    <w:name w:val="annotation text"/>
    <w:basedOn w:val="Normal"/>
    <w:link w:val="ab"/>
    <w:uiPriority w:val="99"/>
    <w:semiHidden/>
    <w:unhideWhenUsed/>
    <w:qFormat/>
    <w:rsid w:val="00573896"/>
    <w:pPr/>
    <w:rPr/>
  </w:style>
  <w:style w:type="paragraph" w:styleId="Annotationsubject">
    <w:name w:val="annotation subject"/>
    <w:basedOn w:val="Annotationtext"/>
    <w:next w:val="Annotationtext"/>
    <w:link w:val="ad"/>
    <w:uiPriority w:val="99"/>
    <w:semiHidden/>
    <w:unhideWhenUsed/>
    <w:qFormat/>
    <w:rsid w:val="00573896"/>
    <w:pPr/>
    <w:rPr>
      <w:b/>
      <w:bCs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LibreOffice/7.2.1.2$Windows_X86_64 LibreOffice_project/87b77fad49947c1441b67c559c339af8f3517e22</Application>
  <AppVersion>15.0000</AppVersion>
  <Pages>5</Pages>
  <Words>1411</Words>
  <Characters>9884</Characters>
  <CharactersWithSpaces>11327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2020-11-16T11:34:00Z</dcterms:created>
  <dc:creator>Лобанов Евгений Петрович</dc:creator>
  <dc:description/>
  <dc:language>ru-RU</dc:language>
  <cp:lastModifiedBy/>
  <cp:lastPrinted>2020-11-16T06:59:00Z</cp:lastPrinted>
  <dcterms:modified xsi:type="dcterms:W3CDTF">2024-01-23T10:21:06Z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